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120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Temper AI LLC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AI Alignment • Safety Architecture • Autonomous Agent Security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Most organizations treat AI alignment, safety, and security as a single undifferentiated concern. They are not. Temper AI LLC was built on that distinction — delivering consulting and engineering for mission-critical environments where the cost of getting it wrong is unacceptable.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We approach AI as a robust infrastructure problem. Safety is structural, not bolted on after the fact. Our current research focuses on Structural Channel Separation (SCS): architectures that make semantic compromise of autonomous AI agents mathematically impossible by enforcing absolute isolation between intent and payload at the hardware level.</w:t>
      </w:r>
    </w:p>
    <w:p>
      <w:pPr>
        <w:pBdr>
          <w:bottom w:val="single" w:color="1a3a5c" w:sz="4" w:space="2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1a3a5c"/>
          <w:sz w:val="24"/>
          <w:szCs w:val="24"/>
        </w:rPr>
        <w:t xml:space="preserve">Our Framework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Alignment, safety, and security are not a single undifferentiated concern. They are not. Confusing them leads to mis-scoped programs, mismatched hires, and controls that look great on slides and fail in production.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The concept of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intent</w:t>
      </w:r>
      <w:r>
        <w:rPr>
          <w:rFonts w:ascii="Arial" w:cs="Arial" w:eastAsia="Arial" w:hAnsi="Arial"/>
          <w:sz w:val="22"/>
          <w:szCs w:val="22"/>
        </w:rPr>
        <w:t xml:space="preserve"> is the scalpel that separates them: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Alignment</w:t>
      </w:r>
      <w:r>
        <w:rPr>
          <w:rFonts w:ascii="Arial" w:cs="Arial" w:eastAsia="Arial" w:hAnsi="Arial"/>
          <w:sz w:val="22"/>
          <w:szCs w:val="22"/>
        </w:rPr>
        <w:t xml:space="preserve"> — Is the system trying to do the right thing?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If it fails by design, that’s an alignment failure.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Safety</w:t>
      </w:r>
      <w:r>
        <w:rPr>
          <w:rFonts w:ascii="Arial" w:cs="Arial" w:eastAsia="Arial" w:hAnsi="Arial"/>
          <w:sz w:val="22"/>
          <w:szCs w:val="22"/>
        </w:rPr>
        <w:t xml:space="preserve"> — Even when it’s trying, can it still cause harm?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If it fails by accident, that’s a safety failure.</w:t>
      </w:r>
    </w:p>
    <w:p>
      <w:pPr>
        <w:spacing w:after="14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Security</w:t>
      </w:r>
      <w:r>
        <w:rPr>
          <w:rFonts w:ascii="Arial" w:cs="Arial" w:eastAsia="Arial" w:hAnsi="Arial"/>
          <w:sz w:val="22"/>
          <w:szCs w:val="22"/>
        </w:rPr>
        <w:t xml:space="preserve"> — Can someone make it cause harm on purpose?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If it fails on command, that’s a security failure.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They map to different disciplines, different tooling, and different success metrics. A mature program names them separately, runs them separately, then stitches the results together into a coherent assurance posture. Anything short of that is theater.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Temper AI addresses all three — separately and correctly.</w:t>
      </w:r>
    </w:p>
    <w:p>
      <w:pPr>
        <w:pBdr>
          <w:bottom w:val="single" w:color="1a3a5c" w:sz="4" w:space="2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1a3a5c"/>
          <w:sz w:val="24"/>
          <w:szCs w:val="24"/>
        </w:rPr>
        <w:t xml:space="preserve">Core Competencies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AI Alignment &amp; Safety Architecture</w:t>
      </w:r>
      <w:r>
        <w:rPr>
          <w:rFonts w:ascii="Arial" w:cs="Arial" w:eastAsia="Arial" w:hAnsi="Arial"/>
          <w:sz w:val="22"/>
          <w:szCs w:val="22"/>
        </w:rPr>
        <w:t xml:space="preserve"> — Structural approaches to AI safety. Architectures where alignment is built in, not trained in.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Cybersecurity Architecture</w:t>
      </w:r>
      <w:r>
        <w:rPr>
          <w:rFonts w:ascii="Arial" w:cs="Arial" w:eastAsia="Arial" w:hAnsi="Arial"/>
          <w:sz w:val="22"/>
          <w:szCs w:val="22"/>
        </w:rPr>
        <w:t xml:space="preserve"> — Hardened system design for high-threat, zero-tolerance environments.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Autonomous Agent Security</w:t>
      </w:r>
      <w:r>
        <w:rPr>
          <w:rFonts w:ascii="Arial" w:cs="Arial" w:eastAsia="Arial" w:hAnsi="Arial"/>
          <w:sz w:val="22"/>
          <w:szCs w:val="22"/>
        </w:rPr>
        <w:t xml:space="preserve"> — Solving prompt injection, confused deputy, and consent fatigue problems at the architecture level, not the filter level.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Neuromorphic Computing &amp; Spiking Neural Networks</w:t>
      </w:r>
      <w:r>
        <w:rPr>
          <w:rFonts w:ascii="Arial" w:cs="Arial" w:eastAsia="Arial" w:hAnsi="Arial"/>
          <w:sz w:val="22"/>
          <w:szCs w:val="22"/>
        </w:rPr>
        <w:t xml:space="preserve"> — Biologically inspired, low-SWaP AI architectures for interpretable, auditable, and deployable edge systems.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Telecom &amp; Lawful Intercept Security</w:t>
      </w:r>
      <w:r>
        <w:rPr>
          <w:rFonts w:ascii="Arial" w:cs="Arial" w:eastAsia="Arial" w:hAnsi="Arial"/>
          <w:sz w:val="22"/>
          <w:szCs w:val="22"/>
        </w:rPr>
        <w:t xml:space="preserve"> — Definition and implementation of international lawful interception standards across 3GPP, ETSI, and ATIS.</w:t>
      </w:r>
    </w:p>
    <w:p>
      <w:pPr>
        <w:pBdr>
          <w:bottom w:val="single" w:color="1a3a5c" w:sz="4" w:space="2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1a3a5c"/>
          <w:sz w:val="24"/>
          <w:szCs w:val="24"/>
        </w:rPr>
        <w:t xml:space="preserve">Key Differentiators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Security-First Architecture — </w:t>
      </w:r>
      <w:r>
        <w:rPr>
          <w:rFonts w:ascii="Arial" w:cs="Arial" w:eastAsia="Arial" w:hAnsi="Arial"/>
          <w:sz w:val="22"/>
          <w:szCs w:val="22"/>
        </w:rPr>
        <w:t xml:space="preserve">We don’t fine-tune dangerous systems to be safe. We build structural guarantees that make compromise mathematically impossible. Current transformer-based AI lacks Structural Channel Separation — Temper AI is building the architectures that provide it.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Zero-Fail Pedigree — </w:t>
      </w:r>
      <w:r>
        <w:rPr>
          <w:rFonts w:ascii="Arial" w:cs="Arial" w:eastAsia="Arial" w:hAnsi="Arial"/>
          <w:sz w:val="22"/>
          <w:szCs w:val="22"/>
        </w:rPr>
        <w:t xml:space="preserve">Deep foundational experience operating in classified, zero-tolerance environments: submarine combat systems, FBI cybersecurity strategy, and international telecom security standards.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Transparent Architecture — </w:t>
      </w:r>
      <w:r>
        <w:rPr>
          <w:rFonts w:ascii="Arial" w:cs="Arial" w:eastAsia="Arial" w:hAnsi="Arial"/>
          <w:sz w:val="22"/>
          <w:szCs w:val="22"/>
        </w:rPr>
        <w:t xml:space="preserve">Our systems are designed to be auditable, observable, and governable by design — not by policy alone.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Published Research — </w:t>
      </w:r>
      <w:r>
        <w:rPr>
          <w:rFonts w:ascii="Arial" w:cs="Arial" w:eastAsia="Arial" w:hAnsi="Arial"/>
          <w:sz w:val="22"/>
          <w:szCs w:val="22"/>
        </w:rPr>
        <w:t xml:space="preserve">Author of a six-part thesis examining systemic risks in centralized AI architectures, including instruction-data conflation in autonomous agents, synthetic feedback loops, and training data contamination.</w:t>
      </w:r>
    </w:p>
    <w:p>
      <w:pPr>
        <w:pBdr>
          <w:bottom w:val="single" w:color="1a3a5c" w:sz="4" w:space="2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1a3a5c"/>
          <w:sz w:val="24"/>
          <w:szCs w:val="24"/>
        </w:rPr>
        <w:t xml:space="preserve">Past Performance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FBI / U.S. Law Enforcement  —  2003–2025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Served as primary technical advisor on 5G lawful intercept strategy, unifying security architecture and policy for approximately 20,000 U.S. law enforcement and intelligence agencies.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Represented U.S. law enforcement as technical lead in 3GPP SA3, SA3-LI and ETSI NFV Security; built international consensus and drove adoption of U.S. requirements.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Developed and edited ATIS PTSC standards, including T1.678 (Lawfully Authorized Electronic Surveillance for Internet Access Services).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Drafted FCC petitions challenging deficient published lawful intercept standards; served as Facility Security Officer.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ETSI NFV Outstanding Expert Contribution Award — Security (2016)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U.S. Navy  —  2008–2013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Built and led the engineering team on the Ohio Replacement Program (Columbia-class), the next-generation U.S. submarine combat system; technical strategy secured a $75M engineering services contract.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Developed the mathematical modeling, system architecture, and operational implementation of the Anti-Torpedo Torpedo (ATT) Response Management System; presented R&amp;D results to Navy leadership and gained acceptance for deployment.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Migrated advanced architectural concepts from R&amp;D into the Virginia-class submarine combat system.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Member, Submarine Navy Systems Architecture Working Group.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Bell Labs (AT&amp;T / Lucent)  —  1999–2002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Systems Architect responsible for VoIP network evolution strategy for the AT&amp;T long-distance network.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Represented Lucent in ITU-T Geneva Study Group 11 on ISUP/BICC/SIP interworking; engaged Deutsche Telekom, Telefónica, and AT&amp;T on product roadmap alignment.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Designed redundant subsystem architecture subsequently adopted system-wide.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AT&amp;T Labs Comet Award — Outstanding Contributions and Teamwork (2000)</w:t>
      </w:r>
    </w:p>
    <w:p>
      <w:pPr>
        <w:pBdr>
          <w:bottom w:val="single" w:color="1a3a5c" w:sz="4" w:space="2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1a3a5c"/>
          <w:sz w:val="24"/>
          <w:szCs w:val="24"/>
        </w:rPr>
        <w:t xml:space="preserve">Company Data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UEI: </w:t>
      </w:r>
      <w:r>
        <w:rPr>
          <w:rFonts w:ascii="Arial" w:cs="Arial" w:eastAsia="Arial" w:hAnsi="Arial"/>
          <w:sz w:val="22"/>
          <w:szCs w:val="22"/>
        </w:rPr>
        <w:t xml:space="preserve">DYZFX31R2553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CAGE Code: </w:t>
      </w:r>
      <w:r>
        <w:rPr>
          <w:rFonts w:ascii="Arial" w:cs="Arial" w:eastAsia="Arial" w:hAnsi="Arial"/>
          <w:sz w:val="22"/>
          <w:szCs w:val="22"/>
        </w:rPr>
        <w:t xml:space="preserve">19MR0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SAM.gov: </w:t>
      </w:r>
      <w:r>
        <w:rPr>
          <w:rFonts w:ascii="Arial" w:cs="Arial" w:eastAsia="Arial" w:hAnsi="Arial"/>
          <w:sz w:val="22"/>
          <w:szCs w:val="22"/>
        </w:rPr>
        <w:t xml:space="preserve">Registered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Primary NAICS: </w:t>
      </w:r>
      <w:r>
        <w:rPr>
          <w:rFonts w:ascii="Arial" w:cs="Arial" w:eastAsia="Arial" w:hAnsi="Arial"/>
          <w:sz w:val="22"/>
          <w:szCs w:val="22"/>
        </w:rPr>
        <w:t xml:space="preserve">541715 (R&amp;D in Physical, Engineering, and Life Sciences)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Secondary NAICS: </w:t>
      </w:r>
      <w:r>
        <w:rPr>
          <w:rFonts w:ascii="Arial" w:cs="Arial" w:eastAsia="Arial" w:hAnsi="Arial"/>
          <w:sz w:val="22"/>
          <w:szCs w:val="22"/>
        </w:rPr>
        <w:t xml:space="preserve">541511, 541512, 541690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Clearances: </w:t>
      </w:r>
      <w:r>
        <w:rPr>
          <w:rFonts w:ascii="Arial" w:cs="Arial" w:eastAsia="Arial" w:hAnsi="Arial"/>
          <w:sz w:val="22"/>
          <w:szCs w:val="22"/>
        </w:rPr>
        <w:t xml:space="preserve">TS/SCI Eligible • FBI SSBI (2019) • CI Polygraph (2022)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Website: </w:t>
      </w:r>
      <w:hyperlink w:history="1" r:id="rIdmn5s1gchd1wsujbcz1i5a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temper.ai</w:t>
        </w:r>
      </w:hyperlink>
      <w:r>
        <w:rPr>
          <w:rFonts w:ascii="Arial" w:cs="Arial" w:eastAsia="Arial" w:hAnsi="Arial"/>
          <w:sz w:val="22"/>
          <w:szCs w:val="22"/>
        </w:rPr>
        <w:t xml:space="preserve">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Contact: </w:t>
      </w:r>
      <w:hyperlink w:history="1" r:id="rIdltu5xwrimvwnaom6wuonj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corp@temper.ai</w:t>
        </w:r>
      </w:hyperlink>
      <w:r>
        <w:rPr>
          <w:rFonts w:ascii="Arial" w:cs="Arial" w:eastAsia="Arial" w:hAnsi="Arial"/>
          <w:sz w:val="22"/>
          <w:szCs w:val="22"/>
        </w:rPr>
        <w:t xml:space="preserve">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Phone: </w:t>
      </w:r>
      <w:r>
        <w:rPr>
          <w:rFonts w:ascii="Arial" w:cs="Arial" w:eastAsia="Arial" w:hAnsi="Arial"/>
          <w:sz w:val="22"/>
          <w:szCs w:val="22"/>
        </w:rPr>
        <w:t xml:space="preserve">(703) 884-7184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Point of Contact: </w:t>
      </w:r>
      <w:r>
        <w:rPr>
          <w:rFonts w:ascii="Arial" w:cs="Arial" w:eastAsia="Arial" w:hAnsi="Arial"/>
          <w:sz w:val="22"/>
          <w:szCs w:val="22"/>
        </w:rPr>
        <w:t xml:space="preserve">Michael Bilca, Founder &amp; Principal Architect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tabs>
        <w:tab w:val="right" w:pos="9026"/>
      </w:tabs>
      <w:spacing w:before="60"/>
    </w:pPr>
    <w:r>
      <w:rPr>
        <w:rFonts w:ascii="Arial" w:cs="Arial" w:eastAsia="Arial" w:hAnsi="Arial"/>
        <w:color w:val="777777"/>
        <w:sz w:val="18"/>
        <w:szCs w:val="18"/>
      </w:rPr>
      <w:t xml:space="preserve">temper.ai  |  corp@temper.ai  |  (703) 884-7184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777777"/>
        <w:sz w:val="18"/>
        <w:szCs w:val="18"/>
      </w:rPr>
      <w:t xml:space="preserve">Page </w:t>
    </w:r>
    <w:r>
      <w:rPr>
        <w:rFonts w:ascii="Arial" w:cs="Arial" w:eastAsia="Arial" w:hAnsi="Arial"/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6" w:space="1"/>
      </w:pBdr>
      <w:tabs>
        <w:tab w:val="right" w:pos="9026"/>
      </w:tabs>
      <w:spacing w:after="80"/>
    </w:pPr>
    <w:r>
      <w:rPr>
        <w:rFonts w:ascii="Arial" w:cs="Arial" w:eastAsia="Arial" w:hAnsi="Arial"/>
        <w:b/>
        <w:bCs/>
        <w:color w:val="1a3a5c"/>
        <w:sz w:val="22"/>
        <w:szCs w:val="22"/>
      </w:rPr>
      <w:t xml:space="preserve">TEMPER AI LLC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i/>
        <w:iCs/>
        <w:color w:val="777777"/>
        <w:sz w:val="20"/>
        <w:szCs w:val="20"/>
      </w:rPr>
      <w:t xml:space="preserve">Capability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60" w:hanging="28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1a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ap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mn5s1gchd1wsujbcz1i5a" Type="http://schemas.openxmlformats.org/officeDocument/2006/relationships/hyperlink" Target="https://temper.ai" TargetMode="External"/><Relationship Id="rIdltu5xwrimvwnaom6wuonj" Type="http://schemas.openxmlformats.org/officeDocument/2006/relationships/hyperlink" Target="mailto:corp@temper.ai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2026-03-15T07:29:48.307Z</dcterms:created>
  <dcterms:modified xsi:type="dcterms:W3CDTF">2026-03-15T07:29:48.307Z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